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DD4BC" w14:textId="77777777" w:rsidR="00213882" w:rsidRPr="009F0489" w:rsidRDefault="00213882">
      <w:pPr>
        <w:rPr>
          <w:rFonts w:ascii="Arial" w:hAnsi="Arial" w:cs="Arial"/>
          <w:b/>
          <w:sz w:val="32"/>
        </w:rPr>
      </w:pPr>
      <w:bookmarkStart w:id="0" w:name="_GoBack"/>
      <w:bookmarkEnd w:id="0"/>
      <w:r w:rsidRPr="009F0489">
        <w:rPr>
          <w:rFonts w:ascii="Arial" w:hAnsi="Arial" w:cs="Arial"/>
          <w:b/>
          <w:sz w:val="32"/>
        </w:rPr>
        <w:t>Bid Assessment Framework - Complaint Form</w:t>
      </w:r>
    </w:p>
    <w:p w14:paraId="6716E8CA" w14:textId="39ECF6D3" w:rsidR="005E2F60" w:rsidRPr="009F0489" w:rsidRDefault="005E2F60" w:rsidP="00F42B0B">
      <w:pPr>
        <w:jc w:val="both"/>
        <w:rPr>
          <w:rFonts w:ascii="Arial" w:hAnsi="Arial" w:cs="Arial"/>
        </w:rPr>
      </w:pPr>
      <w:r w:rsidRPr="009F0489">
        <w:rPr>
          <w:rFonts w:ascii="Arial" w:hAnsi="Arial" w:cs="Arial"/>
        </w:rPr>
        <w:t xml:space="preserve">Thames Water will </w:t>
      </w:r>
      <w:r w:rsidR="005A2F20" w:rsidRPr="009F0489">
        <w:rPr>
          <w:rFonts w:ascii="Arial" w:hAnsi="Arial" w:cs="Arial"/>
        </w:rPr>
        <w:t xml:space="preserve">hear </w:t>
      </w:r>
      <w:r w:rsidRPr="009F0489">
        <w:rPr>
          <w:rFonts w:ascii="Arial" w:hAnsi="Arial" w:cs="Arial"/>
        </w:rPr>
        <w:t xml:space="preserve">complaints if a third-party bidder considers that </w:t>
      </w:r>
      <w:r w:rsidR="005A2F20" w:rsidRPr="009F0489">
        <w:rPr>
          <w:rFonts w:ascii="Arial" w:hAnsi="Arial" w:cs="Arial"/>
        </w:rPr>
        <w:t>Thames Water</w:t>
      </w:r>
      <w:r w:rsidRPr="009F0489">
        <w:rPr>
          <w:rFonts w:ascii="Arial" w:hAnsi="Arial" w:cs="Arial"/>
        </w:rPr>
        <w:t xml:space="preserve"> has not followed the BAF at any stage in the bid assessment process</w:t>
      </w:r>
      <w:r w:rsidR="005922FF" w:rsidRPr="009F0489">
        <w:rPr>
          <w:rFonts w:ascii="Arial" w:hAnsi="Arial" w:cs="Arial"/>
        </w:rPr>
        <w:t xml:space="preserve">, </w:t>
      </w:r>
      <w:r w:rsidR="00AA3D44" w:rsidRPr="009F0489">
        <w:rPr>
          <w:rFonts w:ascii="Arial" w:hAnsi="Arial" w:cs="Arial"/>
        </w:rPr>
        <w:t xml:space="preserve">if this process falls under the remit of the BAF </w:t>
      </w:r>
      <w:r w:rsidR="005922FF" w:rsidRPr="009F0489">
        <w:rPr>
          <w:rFonts w:ascii="Arial" w:hAnsi="Arial" w:cs="Arial"/>
        </w:rPr>
        <w:t xml:space="preserve">(i.e. it relates to procurement of water resources, demand management or leakage service solutions). </w:t>
      </w:r>
      <w:r w:rsidRPr="009F0489">
        <w:rPr>
          <w:rFonts w:ascii="Arial" w:hAnsi="Arial" w:cs="Arial"/>
        </w:rPr>
        <w:t>Thames Water will take appropriate action to remedy any complaints where the BAF has not been properly applied.</w:t>
      </w:r>
    </w:p>
    <w:p w14:paraId="74ED8BEF" w14:textId="312B76C1" w:rsidR="005E2F60" w:rsidRPr="009F0489" w:rsidRDefault="005E2F60">
      <w:pPr>
        <w:rPr>
          <w:rFonts w:ascii="Arial" w:hAnsi="Arial" w:cs="Arial"/>
        </w:rPr>
      </w:pPr>
      <w:r w:rsidRPr="009F0489">
        <w:rPr>
          <w:rFonts w:ascii="Arial" w:hAnsi="Arial" w:cs="Arial"/>
        </w:rPr>
        <w:t xml:space="preserve">If you wish to register a complaint please complete the details below and email this </w:t>
      </w:r>
      <w:r w:rsidR="00F42B0B">
        <w:rPr>
          <w:rFonts w:ascii="Arial" w:hAnsi="Arial" w:cs="Arial"/>
        </w:rPr>
        <w:t xml:space="preserve">form </w:t>
      </w:r>
      <w:r w:rsidRPr="009F0489">
        <w:rPr>
          <w:rFonts w:ascii="Arial" w:hAnsi="Arial" w:cs="Arial"/>
        </w:rPr>
        <w:t xml:space="preserve">to </w:t>
      </w:r>
      <w:hyperlink r:id="rId10" w:history="1">
        <w:r w:rsidRPr="009F0489">
          <w:rPr>
            <w:rStyle w:val="Hyperlink"/>
            <w:rFonts w:ascii="Arial" w:hAnsi="Arial" w:cs="Arial"/>
          </w:rPr>
          <w:t>procurement.support.centre@thameswater.co.uk</w:t>
        </w:r>
      </w:hyperlink>
      <w:r w:rsidR="00C07518">
        <w:rPr>
          <w:rFonts w:ascii="Arial" w:hAnsi="Arial" w:cs="Arial"/>
        </w:rPr>
        <w:t xml:space="preserve">. </w:t>
      </w:r>
      <w:r w:rsidRPr="009F0489">
        <w:rPr>
          <w:rFonts w:ascii="Arial" w:hAnsi="Arial" w:cs="Arial"/>
        </w:rPr>
        <w:t xml:space="preserve">Please </w:t>
      </w:r>
      <w:r w:rsidR="00FA1137">
        <w:rPr>
          <w:rFonts w:ascii="Arial" w:hAnsi="Arial" w:cs="Arial"/>
        </w:rPr>
        <w:t xml:space="preserve">include </w:t>
      </w:r>
      <w:r w:rsidRPr="009F0489">
        <w:rPr>
          <w:rFonts w:ascii="Arial" w:hAnsi="Arial" w:cs="Arial"/>
        </w:rPr>
        <w:t>the words ‘BAF complaint’</w:t>
      </w:r>
      <w:r w:rsidR="00FA1137">
        <w:rPr>
          <w:rFonts w:ascii="Arial" w:hAnsi="Arial" w:cs="Arial"/>
          <w:sz w:val="20"/>
          <w:szCs w:val="20"/>
        </w:rPr>
        <w:t xml:space="preserve"> </w:t>
      </w:r>
      <w:r w:rsidR="00FA1137" w:rsidRPr="00FA1137">
        <w:rPr>
          <w:rFonts w:ascii="Arial" w:hAnsi="Arial" w:cs="Arial"/>
        </w:rPr>
        <w:t>in the subject line</w:t>
      </w:r>
      <w:r w:rsidR="00022713">
        <w:rPr>
          <w:rFonts w:ascii="Arial" w:hAnsi="Arial" w:cs="Arial"/>
        </w:rPr>
        <w:t xml:space="preserve"> of your email. </w:t>
      </w:r>
    </w:p>
    <w:p w14:paraId="27814B12" w14:textId="1BEDDEDA" w:rsidR="00F511BF" w:rsidRPr="009F0489" w:rsidRDefault="005E2F60">
      <w:pPr>
        <w:rPr>
          <w:rFonts w:ascii="Arial" w:hAnsi="Arial" w:cs="Arial"/>
        </w:rPr>
      </w:pPr>
      <w:r w:rsidRPr="009F0489">
        <w:rPr>
          <w:rFonts w:ascii="Arial" w:hAnsi="Arial" w:cs="Arial"/>
        </w:rPr>
        <w:t>The complaints process details can be found at the end of this form.</w:t>
      </w:r>
    </w:p>
    <w:tbl>
      <w:tblPr>
        <w:tblStyle w:val="TableGrid"/>
        <w:tblW w:w="0" w:type="auto"/>
        <w:tblLook w:val="04A0" w:firstRow="1" w:lastRow="0" w:firstColumn="1" w:lastColumn="0" w:noHBand="0" w:noVBand="1"/>
      </w:tblPr>
      <w:tblGrid>
        <w:gridCol w:w="2689"/>
        <w:gridCol w:w="6327"/>
      </w:tblGrid>
      <w:tr w:rsidR="00275530" w:rsidRPr="009F0489" w14:paraId="1D353880" w14:textId="77777777" w:rsidTr="00FB3570">
        <w:trPr>
          <w:trHeight w:val="230"/>
        </w:trPr>
        <w:tc>
          <w:tcPr>
            <w:tcW w:w="2689" w:type="dxa"/>
            <w:shd w:val="clear" w:color="auto" w:fill="F2F2F2" w:themeFill="background1" w:themeFillShade="F2"/>
          </w:tcPr>
          <w:p w14:paraId="2629BE0B" w14:textId="77777777" w:rsidR="00275530" w:rsidRPr="009F0489" w:rsidRDefault="00FB3570">
            <w:pPr>
              <w:rPr>
                <w:rFonts w:ascii="Arial" w:hAnsi="Arial" w:cs="Arial"/>
                <w:b/>
              </w:rPr>
            </w:pPr>
            <w:r w:rsidRPr="009F0489">
              <w:rPr>
                <w:rFonts w:ascii="Arial" w:hAnsi="Arial" w:cs="Arial"/>
                <w:b/>
              </w:rPr>
              <w:t>Company /Supplier Name</w:t>
            </w:r>
          </w:p>
        </w:tc>
        <w:tc>
          <w:tcPr>
            <w:tcW w:w="6327" w:type="dxa"/>
          </w:tcPr>
          <w:p w14:paraId="2A6C70EF" w14:textId="77777777" w:rsidR="00275530" w:rsidRPr="009F0489" w:rsidRDefault="00275530">
            <w:pPr>
              <w:rPr>
                <w:rFonts w:ascii="Arial" w:hAnsi="Arial" w:cs="Arial"/>
              </w:rPr>
            </w:pPr>
          </w:p>
        </w:tc>
      </w:tr>
      <w:tr w:rsidR="00275530" w:rsidRPr="009F0489" w14:paraId="693BF475" w14:textId="77777777" w:rsidTr="00FB3570">
        <w:tc>
          <w:tcPr>
            <w:tcW w:w="2689" w:type="dxa"/>
            <w:shd w:val="clear" w:color="auto" w:fill="F2F2F2" w:themeFill="background1" w:themeFillShade="F2"/>
          </w:tcPr>
          <w:p w14:paraId="1DC53868" w14:textId="77777777" w:rsidR="00FB3570" w:rsidRPr="009F0489" w:rsidRDefault="00FB3570">
            <w:pPr>
              <w:rPr>
                <w:rFonts w:ascii="Arial" w:hAnsi="Arial" w:cs="Arial"/>
                <w:b/>
              </w:rPr>
            </w:pPr>
            <w:r w:rsidRPr="009F0489">
              <w:rPr>
                <w:rFonts w:ascii="Arial" w:hAnsi="Arial" w:cs="Arial"/>
                <w:b/>
              </w:rPr>
              <w:t>Contact Name</w:t>
            </w:r>
          </w:p>
        </w:tc>
        <w:tc>
          <w:tcPr>
            <w:tcW w:w="6327" w:type="dxa"/>
          </w:tcPr>
          <w:p w14:paraId="3211A036" w14:textId="77777777" w:rsidR="00275530" w:rsidRPr="009F0489" w:rsidRDefault="00275530">
            <w:pPr>
              <w:rPr>
                <w:rFonts w:ascii="Arial" w:hAnsi="Arial" w:cs="Arial"/>
              </w:rPr>
            </w:pPr>
          </w:p>
        </w:tc>
      </w:tr>
      <w:tr w:rsidR="00275530" w:rsidRPr="009F0489" w14:paraId="350EBC6A" w14:textId="77777777" w:rsidTr="00FB3570">
        <w:tc>
          <w:tcPr>
            <w:tcW w:w="2689" w:type="dxa"/>
            <w:shd w:val="clear" w:color="auto" w:fill="F2F2F2" w:themeFill="background1" w:themeFillShade="F2"/>
          </w:tcPr>
          <w:p w14:paraId="3C1E193A" w14:textId="77777777" w:rsidR="00275530" w:rsidRPr="009F0489" w:rsidRDefault="00FB3570">
            <w:pPr>
              <w:rPr>
                <w:rFonts w:ascii="Arial" w:hAnsi="Arial" w:cs="Arial"/>
                <w:b/>
              </w:rPr>
            </w:pPr>
            <w:r w:rsidRPr="009F0489">
              <w:rPr>
                <w:rFonts w:ascii="Arial" w:hAnsi="Arial" w:cs="Arial"/>
                <w:b/>
              </w:rPr>
              <w:t>Contact email address</w:t>
            </w:r>
          </w:p>
        </w:tc>
        <w:tc>
          <w:tcPr>
            <w:tcW w:w="6327" w:type="dxa"/>
          </w:tcPr>
          <w:p w14:paraId="69BA8F0C" w14:textId="77777777" w:rsidR="00275530" w:rsidRPr="009F0489" w:rsidRDefault="00275530">
            <w:pPr>
              <w:rPr>
                <w:rFonts w:ascii="Arial" w:hAnsi="Arial" w:cs="Arial"/>
              </w:rPr>
            </w:pPr>
          </w:p>
        </w:tc>
      </w:tr>
      <w:tr w:rsidR="00275530" w:rsidRPr="009F0489" w14:paraId="7E4A50E5" w14:textId="77777777" w:rsidTr="00FB3570">
        <w:tc>
          <w:tcPr>
            <w:tcW w:w="2689" w:type="dxa"/>
            <w:shd w:val="clear" w:color="auto" w:fill="F2F2F2" w:themeFill="background1" w:themeFillShade="F2"/>
          </w:tcPr>
          <w:p w14:paraId="115F0E6B" w14:textId="77777777" w:rsidR="00275530" w:rsidRPr="009F0489" w:rsidRDefault="00FB3570">
            <w:pPr>
              <w:rPr>
                <w:rFonts w:ascii="Arial" w:hAnsi="Arial" w:cs="Arial"/>
                <w:b/>
              </w:rPr>
            </w:pPr>
            <w:r w:rsidRPr="009F0489">
              <w:rPr>
                <w:rFonts w:ascii="Arial" w:hAnsi="Arial" w:cs="Arial"/>
                <w:b/>
              </w:rPr>
              <w:t>Contact telephone no.</w:t>
            </w:r>
          </w:p>
        </w:tc>
        <w:tc>
          <w:tcPr>
            <w:tcW w:w="6327" w:type="dxa"/>
          </w:tcPr>
          <w:p w14:paraId="06B8E588" w14:textId="77777777" w:rsidR="00275530" w:rsidRPr="009F0489" w:rsidRDefault="00275530">
            <w:pPr>
              <w:rPr>
                <w:rFonts w:ascii="Arial" w:hAnsi="Arial" w:cs="Arial"/>
              </w:rPr>
            </w:pPr>
          </w:p>
        </w:tc>
      </w:tr>
      <w:tr w:rsidR="00275530" w:rsidRPr="009F0489" w14:paraId="6A5416B0" w14:textId="77777777" w:rsidTr="00FB3570">
        <w:tc>
          <w:tcPr>
            <w:tcW w:w="2689" w:type="dxa"/>
            <w:shd w:val="clear" w:color="auto" w:fill="F2F2F2" w:themeFill="background1" w:themeFillShade="F2"/>
          </w:tcPr>
          <w:p w14:paraId="040E4DC4" w14:textId="77777777" w:rsidR="00275530" w:rsidRPr="009F0489" w:rsidRDefault="00FB3570">
            <w:pPr>
              <w:rPr>
                <w:rFonts w:ascii="Arial" w:hAnsi="Arial" w:cs="Arial"/>
                <w:b/>
              </w:rPr>
            </w:pPr>
            <w:r w:rsidRPr="009F0489">
              <w:rPr>
                <w:rFonts w:ascii="Arial" w:hAnsi="Arial" w:cs="Arial"/>
                <w:b/>
              </w:rPr>
              <w:t>Date</w:t>
            </w:r>
          </w:p>
        </w:tc>
        <w:tc>
          <w:tcPr>
            <w:tcW w:w="6327" w:type="dxa"/>
          </w:tcPr>
          <w:p w14:paraId="33CA1353" w14:textId="77777777" w:rsidR="00275530" w:rsidRPr="009F0489" w:rsidRDefault="00275530">
            <w:pPr>
              <w:rPr>
                <w:rFonts w:ascii="Arial" w:hAnsi="Arial" w:cs="Arial"/>
              </w:rPr>
            </w:pPr>
          </w:p>
        </w:tc>
      </w:tr>
      <w:tr w:rsidR="00FB3570" w:rsidRPr="009F0489" w14:paraId="4B115AAE" w14:textId="77777777" w:rsidTr="00FB3570">
        <w:tc>
          <w:tcPr>
            <w:tcW w:w="9016" w:type="dxa"/>
            <w:gridSpan w:val="2"/>
            <w:shd w:val="clear" w:color="auto" w:fill="F2F2F2" w:themeFill="background1" w:themeFillShade="F2"/>
          </w:tcPr>
          <w:p w14:paraId="36F75F57" w14:textId="77777777" w:rsidR="00FB3570" w:rsidRPr="009F0489" w:rsidRDefault="00FB3570">
            <w:pPr>
              <w:rPr>
                <w:rFonts w:ascii="Arial" w:hAnsi="Arial" w:cs="Arial"/>
              </w:rPr>
            </w:pPr>
            <w:r w:rsidRPr="009F0489">
              <w:rPr>
                <w:rFonts w:ascii="Arial" w:hAnsi="Arial" w:cs="Arial"/>
                <w:b/>
              </w:rPr>
              <w:t>Nature of Complaint</w:t>
            </w:r>
            <w:r w:rsidRPr="009F0489">
              <w:rPr>
                <w:rFonts w:ascii="Arial" w:hAnsi="Arial" w:cs="Arial"/>
              </w:rPr>
              <w:t xml:space="preserve"> - for example ‘Pre-qualification selection’</w:t>
            </w:r>
          </w:p>
        </w:tc>
      </w:tr>
      <w:tr w:rsidR="00FB3570" w:rsidRPr="009F0489" w14:paraId="26FF358D" w14:textId="77777777" w:rsidTr="00FB3570">
        <w:trPr>
          <w:trHeight w:val="836"/>
        </w:trPr>
        <w:tc>
          <w:tcPr>
            <w:tcW w:w="9016" w:type="dxa"/>
            <w:gridSpan w:val="2"/>
          </w:tcPr>
          <w:p w14:paraId="73D0A963" w14:textId="77777777" w:rsidR="00FB3570" w:rsidRPr="009F0489" w:rsidRDefault="00FB3570">
            <w:pPr>
              <w:rPr>
                <w:rFonts w:ascii="Arial" w:hAnsi="Arial" w:cs="Arial"/>
              </w:rPr>
            </w:pPr>
          </w:p>
        </w:tc>
      </w:tr>
      <w:tr w:rsidR="00FB3570" w:rsidRPr="009F0489" w14:paraId="105CBAD7" w14:textId="77777777" w:rsidTr="00FB3570">
        <w:tc>
          <w:tcPr>
            <w:tcW w:w="9016" w:type="dxa"/>
            <w:gridSpan w:val="2"/>
            <w:shd w:val="clear" w:color="auto" w:fill="F2F2F2" w:themeFill="background1" w:themeFillShade="F2"/>
          </w:tcPr>
          <w:p w14:paraId="27B61BFF" w14:textId="77777777" w:rsidR="00FB3570" w:rsidRPr="009F0489" w:rsidRDefault="00FB3570">
            <w:pPr>
              <w:rPr>
                <w:rFonts w:ascii="Arial" w:hAnsi="Arial" w:cs="Arial"/>
              </w:rPr>
            </w:pPr>
            <w:r w:rsidRPr="009F0489">
              <w:rPr>
                <w:rFonts w:ascii="Arial" w:hAnsi="Arial" w:cs="Arial"/>
                <w:b/>
              </w:rPr>
              <w:t>Complaint Detail</w:t>
            </w:r>
            <w:r w:rsidRPr="009F0489">
              <w:rPr>
                <w:rFonts w:ascii="Arial" w:hAnsi="Arial" w:cs="Arial"/>
              </w:rPr>
              <w:t xml:space="preserve"> - please provide sufficient details in order for </w:t>
            </w:r>
            <w:r w:rsidR="005E2F60" w:rsidRPr="009F0489">
              <w:rPr>
                <w:rFonts w:ascii="Arial" w:hAnsi="Arial" w:cs="Arial"/>
              </w:rPr>
              <w:t xml:space="preserve">your complaint to be </w:t>
            </w:r>
            <w:r w:rsidRPr="009F0489">
              <w:rPr>
                <w:rFonts w:ascii="Arial" w:hAnsi="Arial" w:cs="Arial"/>
              </w:rPr>
              <w:t>assess</w:t>
            </w:r>
            <w:r w:rsidR="005E2F60" w:rsidRPr="009F0489">
              <w:rPr>
                <w:rFonts w:ascii="Arial" w:hAnsi="Arial" w:cs="Arial"/>
              </w:rPr>
              <w:t>ed</w:t>
            </w:r>
          </w:p>
        </w:tc>
      </w:tr>
      <w:tr w:rsidR="00FB3570" w:rsidRPr="009F0489" w14:paraId="3942D121" w14:textId="77777777" w:rsidTr="005E2F60">
        <w:trPr>
          <w:trHeight w:val="6369"/>
        </w:trPr>
        <w:tc>
          <w:tcPr>
            <w:tcW w:w="9016" w:type="dxa"/>
            <w:gridSpan w:val="2"/>
          </w:tcPr>
          <w:p w14:paraId="50787C3B" w14:textId="77777777" w:rsidR="00FB3570" w:rsidRPr="009F0489" w:rsidRDefault="00FB3570">
            <w:pPr>
              <w:rPr>
                <w:rFonts w:ascii="Arial" w:hAnsi="Arial" w:cs="Arial"/>
              </w:rPr>
            </w:pPr>
          </w:p>
        </w:tc>
      </w:tr>
    </w:tbl>
    <w:p w14:paraId="535DB5D4" w14:textId="77777777" w:rsidR="00213882" w:rsidRPr="009F0489" w:rsidRDefault="00213882">
      <w:pPr>
        <w:rPr>
          <w:rFonts w:ascii="Arial" w:hAnsi="Arial" w:cs="Arial"/>
        </w:rPr>
      </w:pPr>
    </w:p>
    <w:p w14:paraId="4D1573DC" w14:textId="77777777" w:rsidR="00FB3570" w:rsidRPr="009F0489" w:rsidRDefault="00FB3570">
      <w:pPr>
        <w:rPr>
          <w:rFonts w:ascii="Arial" w:hAnsi="Arial" w:cs="Arial"/>
        </w:rPr>
      </w:pPr>
    </w:p>
    <w:p w14:paraId="4B0AA3B3" w14:textId="77777777" w:rsidR="005E2F60" w:rsidRPr="009F0489" w:rsidRDefault="00F511BF" w:rsidP="00F511BF">
      <w:pPr>
        <w:ind w:left="360"/>
        <w:rPr>
          <w:rFonts w:ascii="Arial" w:hAnsi="Arial" w:cs="Arial"/>
          <w:b/>
          <w:sz w:val="28"/>
        </w:rPr>
      </w:pPr>
      <w:r w:rsidRPr="009F0489">
        <w:rPr>
          <w:rFonts w:ascii="Arial" w:hAnsi="Arial" w:cs="Arial"/>
          <w:b/>
          <w:sz w:val="28"/>
        </w:rPr>
        <w:lastRenderedPageBreak/>
        <w:t xml:space="preserve">BAF </w:t>
      </w:r>
      <w:r w:rsidR="005E2F60" w:rsidRPr="009F0489">
        <w:rPr>
          <w:rFonts w:ascii="Arial" w:hAnsi="Arial" w:cs="Arial"/>
          <w:b/>
          <w:sz w:val="28"/>
        </w:rPr>
        <w:t>Complaints process</w:t>
      </w:r>
    </w:p>
    <w:p w14:paraId="7236EFA1" w14:textId="77777777" w:rsidR="00F511BF" w:rsidRPr="009F0489" w:rsidRDefault="00F511BF" w:rsidP="00F511BF">
      <w:pPr>
        <w:ind w:left="360"/>
        <w:jc w:val="center"/>
        <w:rPr>
          <w:rFonts w:ascii="Arial" w:hAnsi="Arial" w:cs="Arial"/>
          <w:b/>
          <w:sz w:val="28"/>
        </w:rPr>
      </w:pPr>
    </w:p>
    <w:p w14:paraId="4093D904" w14:textId="1FF61FCA" w:rsidR="00F511BF" w:rsidRPr="009F0489" w:rsidRDefault="0067711B" w:rsidP="005E2F60">
      <w:pPr>
        <w:ind w:left="360"/>
        <w:rPr>
          <w:rFonts w:ascii="Arial" w:hAnsi="Arial" w:cs="Arial"/>
        </w:rPr>
      </w:pPr>
      <w:r w:rsidRPr="0067711B">
        <w:rPr>
          <w:rFonts w:ascii="Arial" w:eastAsia="Calibri" w:hAnsi="Arial" w:cs="Times New Roman"/>
          <w:noProof/>
          <w:sz w:val="20"/>
          <w:lang w:eastAsia="en-GB"/>
        </w:rPr>
        <w:drawing>
          <wp:inline distT="0" distB="0" distL="0" distR="0" wp14:anchorId="402E5C14" wp14:editId="28678C89">
            <wp:extent cx="5459240" cy="5658415"/>
            <wp:effectExtent l="19050" t="0" r="27305" b="381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F94D17" w14:textId="77777777" w:rsidR="00F511BF" w:rsidRPr="009F0489" w:rsidRDefault="00F511BF" w:rsidP="005E2F60">
      <w:pPr>
        <w:ind w:left="360"/>
        <w:rPr>
          <w:rFonts w:ascii="Arial" w:hAnsi="Arial" w:cs="Arial"/>
        </w:rPr>
      </w:pPr>
    </w:p>
    <w:p w14:paraId="310F2EA4" w14:textId="77777777" w:rsidR="00FB3570" w:rsidRPr="009F0489" w:rsidRDefault="00FB3570">
      <w:pPr>
        <w:rPr>
          <w:rFonts w:ascii="Arial" w:hAnsi="Arial" w:cs="Arial"/>
        </w:rPr>
      </w:pPr>
    </w:p>
    <w:sectPr w:rsidR="00FB3570" w:rsidRPr="009F048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A31D0" w14:textId="77777777" w:rsidR="001E6E61" w:rsidRDefault="001E6E61" w:rsidP="00F511BF">
      <w:pPr>
        <w:spacing w:after="0" w:line="240" w:lineRule="auto"/>
      </w:pPr>
      <w:r>
        <w:separator/>
      </w:r>
    </w:p>
  </w:endnote>
  <w:endnote w:type="continuationSeparator" w:id="0">
    <w:p w14:paraId="08E0D4AA" w14:textId="77777777" w:rsidR="001E6E61" w:rsidRDefault="001E6E61" w:rsidP="00F511BF">
      <w:pPr>
        <w:spacing w:after="0" w:line="240" w:lineRule="auto"/>
      </w:pPr>
      <w:r>
        <w:continuationSeparator/>
      </w:r>
    </w:p>
  </w:endnote>
  <w:endnote w:type="continuationNotice" w:id="1">
    <w:p w14:paraId="4350A09B" w14:textId="77777777" w:rsidR="006A1961" w:rsidRDefault="006A1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18F3" w14:textId="347107FE" w:rsidR="00F511BF" w:rsidRDefault="00F511BF">
    <w:pPr>
      <w:pStyle w:val="Footer"/>
    </w:pPr>
    <w:r>
      <w:t xml:space="preserve">BAF complaint form </w:t>
    </w:r>
    <w:r w:rsidR="0067711B">
      <w:t>March</w:t>
    </w:r>
    <w:r>
      <w:t xml:space="preserve"> 2020</w:t>
    </w:r>
  </w:p>
  <w:p w14:paraId="761BF85E" w14:textId="77777777" w:rsidR="00F511BF" w:rsidRDefault="00F5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DA15" w14:textId="77777777" w:rsidR="001E6E61" w:rsidRDefault="001E6E61" w:rsidP="00F511BF">
      <w:pPr>
        <w:spacing w:after="0" w:line="240" w:lineRule="auto"/>
      </w:pPr>
      <w:r>
        <w:separator/>
      </w:r>
    </w:p>
  </w:footnote>
  <w:footnote w:type="continuationSeparator" w:id="0">
    <w:p w14:paraId="2D24C2BB" w14:textId="77777777" w:rsidR="001E6E61" w:rsidRDefault="001E6E61" w:rsidP="00F511BF">
      <w:pPr>
        <w:spacing w:after="0" w:line="240" w:lineRule="auto"/>
      </w:pPr>
      <w:r>
        <w:continuationSeparator/>
      </w:r>
    </w:p>
  </w:footnote>
  <w:footnote w:type="continuationNotice" w:id="1">
    <w:p w14:paraId="59F7F7D9" w14:textId="77777777" w:rsidR="006A1961" w:rsidRDefault="006A19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EF5"/>
    <w:multiLevelType w:val="hybridMultilevel"/>
    <w:tmpl w:val="F7C029C0"/>
    <w:lvl w:ilvl="0" w:tplc="F21259DC">
      <w:start w:val="1"/>
      <w:numFmt w:val="bullet"/>
      <w:lvlText w:val="•"/>
      <w:lvlJc w:val="left"/>
      <w:pPr>
        <w:tabs>
          <w:tab w:val="num" w:pos="720"/>
        </w:tabs>
        <w:ind w:left="720" w:hanging="360"/>
      </w:pPr>
      <w:rPr>
        <w:rFonts w:ascii="Times New Roman" w:hAnsi="Times New Roman" w:hint="default"/>
      </w:rPr>
    </w:lvl>
    <w:lvl w:ilvl="1" w:tplc="BAD07686" w:tentative="1">
      <w:start w:val="1"/>
      <w:numFmt w:val="bullet"/>
      <w:lvlText w:val="•"/>
      <w:lvlJc w:val="left"/>
      <w:pPr>
        <w:tabs>
          <w:tab w:val="num" w:pos="1440"/>
        </w:tabs>
        <w:ind w:left="1440" w:hanging="360"/>
      </w:pPr>
      <w:rPr>
        <w:rFonts w:ascii="Times New Roman" w:hAnsi="Times New Roman" w:hint="default"/>
      </w:rPr>
    </w:lvl>
    <w:lvl w:ilvl="2" w:tplc="8F4E4D46" w:tentative="1">
      <w:start w:val="1"/>
      <w:numFmt w:val="bullet"/>
      <w:lvlText w:val="•"/>
      <w:lvlJc w:val="left"/>
      <w:pPr>
        <w:tabs>
          <w:tab w:val="num" w:pos="2160"/>
        </w:tabs>
        <w:ind w:left="2160" w:hanging="360"/>
      </w:pPr>
      <w:rPr>
        <w:rFonts w:ascii="Times New Roman" w:hAnsi="Times New Roman" w:hint="default"/>
      </w:rPr>
    </w:lvl>
    <w:lvl w:ilvl="3" w:tplc="D474230C" w:tentative="1">
      <w:start w:val="1"/>
      <w:numFmt w:val="bullet"/>
      <w:lvlText w:val="•"/>
      <w:lvlJc w:val="left"/>
      <w:pPr>
        <w:tabs>
          <w:tab w:val="num" w:pos="2880"/>
        </w:tabs>
        <w:ind w:left="2880" w:hanging="360"/>
      </w:pPr>
      <w:rPr>
        <w:rFonts w:ascii="Times New Roman" w:hAnsi="Times New Roman" w:hint="default"/>
      </w:rPr>
    </w:lvl>
    <w:lvl w:ilvl="4" w:tplc="CC32317A" w:tentative="1">
      <w:start w:val="1"/>
      <w:numFmt w:val="bullet"/>
      <w:lvlText w:val="•"/>
      <w:lvlJc w:val="left"/>
      <w:pPr>
        <w:tabs>
          <w:tab w:val="num" w:pos="3600"/>
        </w:tabs>
        <w:ind w:left="3600" w:hanging="360"/>
      </w:pPr>
      <w:rPr>
        <w:rFonts w:ascii="Times New Roman" w:hAnsi="Times New Roman" w:hint="default"/>
      </w:rPr>
    </w:lvl>
    <w:lvl w:ilvl="5" w:tplc="84227480" w:tentative="1">
      <w:start w:val="1"/>
      <w:numFmt w:val="bullet"/>
      <w:lvlText w:val="•"/>
      <w:lvlJc w:val="left"/>
      <w:pPr>
        <w:tabs>
          <w:tab w:val="num" w:pos="4320"/>
        </w:tabs>
        <w:ind w:left="4320" w:hanging="360"/>
      </w:pPr>
      <w:rPr>
        <w:rFonts w:ascii="Times New Roman" w:hAnsi="Times New Roman" w:hint="default"/>
      </w:rPr>
    </w:lvl>
    <w:lvl w:ilvl="6" w:tplc="ADF41FFA" w:tentative="1">
      <w:start w:val="1"/>
      <w:numFmt w:val="bullet"/>
      <w:lvlText w:val="•"/>
      <w:lvlJc w:val="left"/>
      <w:pPr>
        <w:tabs>
          <w:tab w:val="num" w:pos="5040"/>
        </w:tabs>
        <w:ind w:left="5040" w:hanging="360"/>
      </w:pPr>
      <w:rPr>
        <w:rFonts w:ascii="Times New Roman" w:hAnsi="Times New Roman" w:hint="default"/>
      </w:rPr>
    </w:lvl>
    <w:lvl w:ilvl="7" w:tplc="15DC00AE" w:tentative="1">
      <w:start w:val="1"/>
      <w:numFmt w:val="bullet"/>
      <w:lvlText w:val="•"/>
      <w:lvlJc w:val="left"/>
      <w:pPr>
        <w:tabs>
          <w:tab w:val="num" w:pos="5760"/>
        </w:tabs>
        <w:ind w:left="5760" w:hanging="360"/>
      </w:pPr>
      <w:rPr>
        <w:rFonts w:ascii="Times New Roman" w:hAnsi="Times New Roman" w:hint="default"/>
      </w:rPr>
    </w:lvl>
    <w:lvl w:ilvl="8" w:tplc="74766F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82"/>
    <w:rsid w:val="00022713"/>
    <w:rsid w:val="0013203E"/>
    <w:rsid w:val="001E6E61"/>
    <w:rsid w:val="00213882"/>
    <w:rsid w:val="00275530"/>
    <w:rsid w:val="003B18E8"/>
    <w:rsid w:val="00531155"/>
    <w:rsid w:val="005922FF"/>
    <w:rsid w:val="005A2F20"/>
    <w:rsid w:val="005E2F60"/>
    <w:rsid w:val="0067711B"/>
    <w:rsid w:val="006A1961"/>
    <w:rsid w:val="006C0A93"/>
    <w:rsid w:val="00752F12"/>
    <w:rsid w:val="00863A49"/>
    <w:rsid w:val="009C7EDD"/>
    <w:rsid w:val="009F0489"/>
    <w:rsid w:val="00A544F8"/>
    <w:rsid w:val="00AA3D44"/>
    <w:rsid w:val="00BE3056"/>
    <w:rsid w:val="00C07518"/>
    <w:rsid w:val="00F411D9"/>
    <w:rsid w:val="00F42B0B"/>
    <w:rsid w:val="00F511BF"/>
    <w:rsid w:val="00FA1137"/>
    <w:rsid w:val="00FB3570"/>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005C"/>
  <w15:chartTrackingRefBased/>
  <w15:docId w15:val="{036DE205-0B76-4481-BE4E-BF0F59C9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70"/>
    <w:rPr>
      <w:rFonts w:ascii="Segoe UI" w:hAnsi="Segoe UI" w:cs="Segoe UI"/>
      <w:sz w:val="18"/>
      <w:szCs w:val="18"/>
    </w:rPr>
  </w:style>
  <w:style w:type="paragraph" w:styleId="ListParagraph">
    <w:name w:val="List Paragraph"/>
    <w:basedOn w:val="Normal"/>
    <w:uiPriority w:val="34"/>
    <w:qFormat/>
    <w:rsid w:val="005E2F6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2F60"/>
    <w:rPr>
      <w:color w:val="0563C1" w:themeColor="hyperlink"/>
      <w:u w:val="single"/>
    </w:rPr>
  </w:style>
  <w:style w:type="character" w:styleId="UnresolvedMention">
    <w:name w:val="Unresolved Mention"/>
    <w:basedOn w:val="DefaultParagraphFont"/>
    <w:uiPriority w:val="99"/>
    <w:semiHidden/>
    <w:unhideWhenUsed/>
    <w:rsid w:val="005E2F60"/>
    <w:rPr>
      <w:color w:val="605E5C"/>
      <w:shd w:val="clear" w:color="auto" w:fill="E1DFDD"/>
    </w:rPr>
  </w:style>
  <w:style w:type="paragraph" w:styleId="Header">
    <w:name w:val="header"/>
    <w:basedOn w:val="Normal"/>
    <w:link w:val="HeaderChar"/>
    <w:uiPriority w:val="99"/>
    <w:unhideWhenUsed/>
    <w:rsid w:val="00F51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1BF"/>
  </w:style>
  <w:style w:type="paragraph" w:styleId="Footer">
    <w:name w:val="footer"/>
    <w:basedOn w:val="Normal"/>
    <w:link w:val="FooterChar"/>
    <w:uiPriority w:val="99"/>
    <w:unhideWhenUsed/>
    <w:rsid w:val="00F51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2615">
      <w:bodyDiv w:val="1"/>
      <w:marLeft w:val="0"/>
      <w:marRight w:val="0"/>
      <w:marTop w:val="0"/>
      <w:marBottom w:val="0"/>
      <w:divBdr>
        <w:top w:val="none" w:sz="0" w:space="0" w:color="auto"/>
        <w:left w:val="none" w:sz="0" w:space="0" w:color="auto"/>
        <w:bottom w:val="none" w:sz="0" w:space="0" w:color="auto"/>
        <w:right w:val="none" w:sz="0" w:space="0" w:color="auto"/>
      </w:divBdr>
      <w:divsChild>
        <w:div w:id="14804906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mailto:procurement.support.centre@thameswate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D5950-CABA-4C64-B775-9F9F979394AE}" type="doc">
      <dgm:prSet loTypeId="urn:microsoft.com/office/officeart/2005/8/layout/vProcess5" loCatId="process" qsTypeId="urn:microsoft.com/office/officeart/2005/8/quickstyle/simple1" qsCatId="simple" csTypeId="urn:microsoft.com/office/officeart/2005/8/colors/accent3_1" csCatId="accent3" phldr="1"/>
      <dgm:spPr/>
      <dgm:t>
        <a:bodyPr/>
        <a:lstStyle/>
        <a:p>
          <a:endParaRPr lang="en-US"/>
        </a:p>
      </dgm:t>
    </dgm:pt>
    <dgm:pt modelId="{3C60278A-DA74-4535-971F-F16DE310D727}">
      <dgm:prSet phldrT="[Text]"/>
      <dgm:spPr>
        <a:xfrm>
          <a:off x="0" y="0"/>
          <a:ext cx="4203614" cy="1018514"/>
        </a:xfrm>
        <a:prstGeom prst="roundRect">
          <a:avLst>
            <a:gd name="adj" fmla="val 10000"/>
          </a:avLst>
        </a:prstGeom>
      </dgm:spPr>
      <dgm:t>
        <a:bodyPr/>
        <a:lstStyle/>
        <a:p>
          <a:pPr algn="l">
            <a:buNone/>
          </a:pPr>
          <a:r>
            <a:rPr lang="en-US">
              <a:latin typeface="Calibri"/>
              <a:ea typeface="+mn-ea"/>
              <a:cs typeface="+mn-cs"/>
            </a:rPr>
            <a:t>1. Third parties should complete the BAF complaint form and send it to </a:t>
          </a:r>
          <a:r>
            <a:rPr lang="en-GB">
              <a:latin typeface="Calibri"/>
              <a:ea typeface="+mn-ea"/>
              <a:cs typeface="+mn-cs"/>
            </a:rPr>
            <a:t>procurement.support.centre@thameswater.co.uk with the subject line "BAF Complaint"</a:t>
          </a:r>
          <a:endParaRPr lang="en-US">
            <a:latin typeface="Calibri"/>
            <a:ea typeface="+mn-ea"/>
            <a:cs typeface="+mn-cs"/>
          </a:endParaRPr>
        </a:p>
      </dgm:t>
    </dgm:pt>
    <dgm:pt modelId="{D881C412-7108-4BD5-A46E-4D740BFE6A85}" type="parTrans" cxnId="{A131B4B9-D0DC-46A0-88F3-B3B6BFC12B5D}">
      <dgm:prSet/>
      <dgm:spPr/>
      <dgm:t>
        <a:bodyPr/>
        <a:lstStyle/>
        <a:p>
          <a:pPr algn="ctr"/>
          <a:endParaRPr lang="en-US"/>
        </a:p>
      </dgm:t>
    </dgm:pt>
    <dgm:pt modelId="{1ECFA4C1-5A1D-41CD-A08E-FBE1132868DE}" type="sibTrans" cxnId="{A131B4B9-D0DC-46A0-88F3-B3B6BFC12B5D}">
      <dgm:prSet/>
      <dgm:spPr>
        <a:xfrm>
          <a:off x="3541580" y="744081"/>
          <a:ext cx="662034" cy="662034"/>
        </a:xfrm>
        <a:prstGeom prst="downArrow">
          <a:avLst>
            <a:gd name="adj1" fmla="val 55000"/>
            <a:gd name="adj2" fmla="val 45000"/>
          </a:avLst>
        </a:prstGeom>
      </dgm:spPr>
      <dgm:t>
        <a:bodyPr/>
        <a:lstStyle/>
        <a:p>
          <a:pPr algn="ctr">
            <a:buNone/>
          </a:pPr>
          <a:endParaRPr lang="en-US">
            <a:solidFill>
              <a:sysClr val="windowText" lastClr="000000">
                <a:hueOff val="0"/>
                <a:satOff val="0"/>
                <a:lumOff val="0"/>
                <a:alphaOff val="0"/>
              </a:sysClr>
            </a:solidFill>
            <a:latin typeface="Calibri"/>
            <a:ea typeface="+mn-ea"/>
            <a:cs typeface="+mn-cs"/>
          </a:endParaRPr>
        </a:p>
      </dgm:t>
    </dgm:pt>
    <dgm:pt modelId="{0440CFDD-99BC-4F11-AFAA-5F8F0341695A}">
      <dgm:prSet phldrT="[Text]"/>
      <dgm:spPr>
        <a:xfrm>
          <a:off x="313906" y="1159975"/>
          <a:ext cx="4203614" cy="1018514"/>
        </a:xfrm>
        <a:prstGeom prst="roundRect">
          <a:avLst>
            <a:gd name="adj" fmla="val 10000"/>
          </a:avLst>
        </a:prstGeom>
      </dgm:spPr>
      <dgm:t>
        <a:bodyPr/>
        <a:lstStyle/>
        <a:p>
          <a:pPr algn="l">
            <a:buNone/>
          </a:pPr>
          <a:r>
            <a:rPr lang="en-US">
              <a:latin typeface="Calibri"/>
              <a:ea typeface="+mn-ea"/>
              <a:cs typeface="+mn-cs"/>
            </a:rPr>
            <a:t>2. Within 5 working days, the complaint form will be logged and an acknowledgment sent to the third party.</a:t>
          </a:r>
        </a:p>
      </dgm:t>
    </dgm:pt>
    <dgm:pt modelId="{6DBD1D5F-F71B-4119-AFC3-E7B7C105F7F5}" type="parTrans" cxnId="{00411622-24B7-4505-9F39-021BD1137AFD}">
      <dgm:prSet/>
      <dgm:spPr/>
      <dgm:t>
        <a:bodyPr/>
        <a:lstStyle/>
        <a:p>
          <a:pPr algn="ctr"/>
          <a:endParaRPr lang="en-US"/>
        </a:p>
      </dgm:t>
    </dgm:pt>
    <dgm:pt modelId="{8542B1DA-264D-4CB5-BDAE-8F9EF21551AF}" type="sibTrans" cxnId="{00411622-24B7-4505-9F39-021BD1137AFD}">
      <dgm:prSet/>
      <dgm:spPr>
        <a:xfrm>
          <a:off x="3855486" y="1904056"/>
          <a:ext cx="662034" cy="662034"/>
        </a:xfrm>
        <a:prstGeom prst="downArrow">
          <a:avLst>
            <a:gd name="adj1" fmla="val 55000"/>
            <a:gd name="adj2" fmla="val 45000"/>
          </a:avLst>
        </a:prstGeom>
      </dgm:spPr>
      <dgm:t>
        <a:bodyPr/>
        <a:lstStyle/>
        <a:p>
          <a:pPr algn="ctr">
            <a:buNone/>
          </a:pPr>
          <a:endParaRPr lang="en-US">
            <a:solidFill>
              <a:sysClr val="windowText" lastClr="000000">
                <a:hueOff val="0"/>
                <a:satOff val="0"/>
                <a:lumOff val="0"/>
                <a:alphaOff val="0"/>
              </a:sysClr>
            </a:solidFill>
            <a:latin typeface="Calibri"/>
            <a:ea typeface="+mn-ea"/>
            <a:cs typeface="+mn-cs"/>
          </a:endParaRPr>
        </a:p>
      </dgm:t>
    </dgm:pt>
    <dgm:pt modelId="{863A10B2-9AFC-4C0D-9AE2-C8CEE35A59C8}">
      <dgm:prSet phldrT="[Text]"/>
      <dgm:spPr>
        <a:xfrm>
          <a:off x="627812" y="2319950"/>
          <a:ext cx="4203614" cy="1018514"/>
        </a:xfrm>
        <a:prstGeom prst="roundRect">
          <a:avLst>
            <a:gd name="adj" fmla="val 10000"/>
          </a:avLst>
        </a:prstGeom>
      </dgm:spPr>
      <dgm:t>
        <a:bodyPr/>
        <a:lstStyle/>
        <a:p>
          <a:pPr algn="l">
            <a:buNone/>
          </a:pPr>
          <a:r>
            <a:rPr lang="en-US">
              <a:latin typeface="Calibri"/>
              <a:ea typeface="+mn-ea"/>
              <a:cs typeface="+mn-cs"/>
            </a:rPr>
            <a:t>3. Thames Water will review and respond to all complaints within 10 working days of receiving all information necessary to review the complaint. This will set out the outcome of their review of their complaint, including an action to resolve (if warranted) and timescales for this. </a:t>
          </a:r>
        </a:p>
      </dgm:t>
    </dgm:pt>
    <dgm:pt modelId="{B30F7E44-AAA4-4373-991E-FF58F35BB600}" type="parTrans" cxnId="{49A63D4C-CF02-4128-BE02-EF91F13FE9AA}">
      <dgm:prSet/>
      <dgm:spPr/>
      <dgm:t>
        <a:bodyPr/>
        <a:lstStyle/>
        <a:p>
          <a:pPr algn="ctr"/>
          <a:endParaRPr lang="en-US"/>
        </a:p>
      </dgm:t>
    </dgm:pt>
    <dgm:pt modelId="{06224207-B7A3-4023-BAB3-E59E1A3F55CE}" type="sibTrans" cxnId="{49A63D4C-CF02-4128-BE02-EF91F13FE9AA}">
      <dgm:prSet/>
      <dgm:spPr>
        <a:xfrm>
          <a:off x="4169392" y="3047056"/>
          <a:ext cx="662034" cy="662034"/>
        </a:xfrm>
        <a:prstGeom prst="downArrow">
          <a:avLst>
            <a:gd name="adj1" fmla="val 55000"/>
            <a:gd name="adj2" fmla="val 45000"/>
          </a:avLst>
        </a:prstGeom>
      </dgm:spPr>
      <dgm:t>
        <a:bodyPr/>
        <a:lstStyle/>
        <a:p>
          <a:pPr algn="ctr">
            <a:buNone/>
          </a:pPr>
          <a:endParaRPr lang="en-US">
            <a:solidFill>
              <a:sysClr val="windowText" lastClr="000000">
                <a:hueOff val="0"/>
                <a:satOff val="0"/>
                <a:lumOff val="0"/>
                <a:alphaOff val="0"/>
              </a:sysClr>
            </a:solidFill>
            <a:latin typeface="Calibri"/>
            <a:ea typeface="+mn-ea"/>
            <a:cs typeface="+mn-cs"/>
          </a:endParaRPr>
        </a:p>
      </dgm:t>
    </dgm:pt>
    <dgm:pt modelId="{48CD22AD-D064-45C0-A81E-5801D8CAC346}">
      <dgm:prSet phldrT="[Text]"/>
      <dgm:spPr>
        <a:xfrm>
          <a:off x="941718" y="3479925"/>
          <a:ext cx="4203614" cy="1018514"/>
        </a:xfrm>
        <a:prstGeom prst="roundRect">
          <a:avLst>
            <a:gd name="adj" fmla="val 10000"/>
          </a:avLst>
        </a:prstGeom>
      </dgm:spPr>
      <dgm:t>
        <a:bodyPr/>
        <a:lstStyle/>
        <a:p>
          <a:pPr algn="l">
            <a:buNone/>
          </a:pPr>
          <a:r>
            <a:rPr lang="en-US">
              <a:latin typeface="Calibri"/>
              <a:ea typeface="+mn-ea"/>
              <a:cs typeface="+mn-cs"/>
            </a:rPr>
            <a:t>4. If the response received is not deemed satisfactory by the complainant then they must respond confirming this within 5 working days of receipt of the response. The complaint will then be escalated to the Project Board with a response provided to the complainant within 15 working days of the complaint being escalated. </a:t>
          </a:r>
        </a:p>
      </dgm:t>
    </dgm:pt>
    <dgm:pt modelId="{7ABBFD6A-F04C-4D7E-8723-7F8165205A79}" type="parTrans" cxnId="{2E2CFF81-B4F4-4C3D-A6E2-EA731B085818}">
      <dgm:prSet/>
      <dgm:spPr/>
      <dgm:t>
        <a:bodyPr/>
        <a:lstStyle/>
        <a:p>
          <a:pPr algn="ctr"/>
          <a:endParaRPr lang="en-GB"/>
        </a:p>
      </dgm:t>
    </dgm:pt>
    <dgm:pt modelId="{AC2740C1-B743-4822-A6CB-EE0A0E7B0223}" type="sibTrans" cxnId="{2E2CFF81-B4F4-4C3D-A6E2-EA731B085818}">
      <dgm:prSet/>
      <dgm:spPr>
        <a:xfrm>
          <a:off x="4483299" y="4218348"/>
          <a:ext cx="662034" cy="662034"/>
        </a:xfrm>
        <a:prstGeom prst="downArrow">
          <a:avLst>
            <a:gd name="adj1" fmla="val 55000"/>
            <a:gd name="adj2" fmla="val 45000"/>
          </a:avLst>
        </a:prstGeom>
      </dgm:spPr>
      <dgm:t>
        <a:bodyPr/>
        <a:lstStyle/>
        <a:p>
          <a:pPr algn="ctr">
            <a:buNone/>
          </a:pPr>
          <a:endParaRPr lang="en-US">
            <a:solidFill>
              <a:sysClr val="windowText" lastClr="000000">
                <a:hueOff val="0"/>
                <a:satOff val="0"/>
                <a:lumOff val="0"/>
                <a:alphaOff val="0"/>
              </a:sysClr>
            </a:solidFill>
            <a:latin typeface="Calibri"/>
            <a:ea typeface="+mn-ea"/>
            <a:cs typeface="+mn-cs"/>
          </a:endParaRPr>
        </a:p>
      </dgm:t>
    </dgm:pt>
    <dgm:pt modelId="{C2BABDCC-E832-4B34-A856-AA2F23F0E920}">
      <dgm:prSet phldrT="[Text]"/>
      <dgm:spPr>
        <a:xfrm>
          <a:off x="1255625" y="4639900"/>
          <a:ext cx="4203614" cy="1018514"/>
        </a:xfrm>
        <a:prstGeom prst="roundRect">
          <a:avLst>
            <a:gd name="adj" fmla="val 10000"/>
          </a:avLst>
        </a:prstGeom>
      </dgm:spPr>
      <dgm:t>
        <a:bodyPr/>
        <a:lstStyle/>
        <a:p>
          <a:pPr algn="l">
            <a:buNone/>
          </a:pPr>
          <a:r>
            <a:rPr lang="en-US">
              <a:latin typeface="Calibri"/>
              <a:ea typeface="+mn-ea"/>
              <a:cs typeface="+mn-cs"/>
            </a:rPr>
            <a:t>5. If the complainant considers the response received from the Project Board to not be satisfactory, the complainant must respond confirming this within 5 working days of receipt of the response. The complaint will then be escalated to the Thames Water Executive Board for a decision. This decision will need to be made and communicated to the complainant within 30 working days, and the decision will be final.</a:t>
          </a:r>
        </a:p>
      </dgm:t>
    </dgm:pt>
    <dgm:pt modelId="{442C0C04-75E4-4D41-8AF7-3D5260B29BD4}" type="parTrans" cxnId="{94AC4C58-2E5D-41B7-A4D7-1FA38D12110E}">
      <dgm:prSet/>
      <dgm:spPr/>
      <dgm:t>
        <a:bodyPr/>
        <a:lstStyle/>
        <a:p>
          <a:pPr algn="ctr"/>
          <a:endParaRPr lang="en-GB"/>
        </a:p>
      </dgm:t>
    </dgm:pt>
    <dgm:pt modelId="{D159A55D-1354-49D8-BEDE-9E6D01861D08}" type="sibTrans" cxnId="{94AC4C58-2E5D-41B7-A4D7-1FA38D12110E}">
      <dgm:prSet/>
      <dgm:spPr/>
      <dgm:t>
        <a:bodyPr/>
        <a:lstStyle/>
        <a:p>
          <a:pPr algn="ctr"/>
          <a:endParaRPr lang="en-GB"/>
        </a:p>
      </dgm:t>
    </dgm:pt>
    <dgm:pt modelId="{0F0B9624-8840-4825-9260-CF3523F4E5EF}" type="pres">
      <dgm:prSet presAssocID="{D97D5950-CABA-4C64-B775-9F9F979394AE}" presName="outerComposite" presStyleCnt="0">
        <dgm:presLayoutVars>
          <dgm:chMax val="5"/>
          <dgm:dir/>
          <dgm:resizeHandles val="exact"/>
        </dgm:presLayoutVars>
      </dgm:prSet>
      <dgm:spPr/>
    </dgm:pt>
    <dgm:pt modelId="{24526466-39AB-43BF-81F8-4670BD185CF4}" type="pres">
      <dgm:prSet presAssocID="{D97D5950-CABA-4C64-B775-9F9F979394AE}" presName="dummyMaxCanvas" presStyleCnt="0">
        <dgm:presLayoutVars/>
      </dgm:prSet>
      <dgm:spPr/>
    </dgm:pt>
    <dgm:pt modelId="{8E631E3E-98AB-47D0-8C43-38C08D104B51}" type="pres">
      <dgm:prSet presAssocID="{D97D5950-CABA-4C64-B775-9F9F979394AE}" presName="FiveNodes_1" presStyleLbl="node1" presStyleIdx="0" presStyleCnt="5">
        <dgm:presLayoutVars>
          <dgm:bulletEnabled val="1"/>
        </dgm:presLayoutVars>
      </dgm:prSet>
      <dgm:spPr/>
    </dgm:pt>
    <dgm:pt modelId="{CD2548AF-0ABE-4164-B097-8302C69E1DA3}" type="pres">
      <dgm:prSet presAssocID="{D97D5950-CABA-4C64-B775-9F9F979394AE}" presName="FiveNodes_2" presStyleLbl="node1" presStyleIdx="1" presStyleCnt="5">
        <dgm:presLayoutVars>
          <dgm:bulletEnabled val="1"/>
        </dgm:presLayoutVars>
      </dgm:prSet>
      <dgm:spPr/>
    </dgm:pt>
    <dgm:pt modelId="{4C5D6BA4-D142-46E5-9CE6-A6EC43DF65D3}" type="pres">
      <dgm:prSet presAssocID="{D97D5950-CABA-4C64-B775-9F9F979394AE}" presName="FiveNodes_3" presStyleLbl="node1" presStyleIdx="2" presStyleCnt="5">
        <dgm:presLayoutVars>
          <dgm:bulletEnabled val="1"/>
        </dgm:presLayoutVars>
      </dgm:prSet>
      <dgm:spPr/>
    </dgm:pt>
    <dgm:pt modelId="{FB0E822F-9F35-4B0A-9551-B3DDDA8F7EF0}" type="pres">
      <dgm:prSet presAssocID="{D97D5950-CABA-4C64-B775-9F9F979394AE}" presName="FiveNodes_4" presStyleLbl="node1" presStyleIdx="3" presStyleCnt="5">
        <dgm:presLayoutVars>
          <dgm:bulletEnabled val="1"/>
        </dgm:presLayoutVars>
      </dgm:prSet>
      <dgm:spPr/>
    </dgm:pt>
    <dgm:pt modelId="{017A3993-1601-4640-A745-5A48CCD9963C}" type="pres">
      <dgm:prSet presAssocID="{D97D5950-CABA-4C64-B775-9F9F979394AE}" presName="FiveNodes_5" presStyleLbl="node1" presStyleIdx="4" presStyleCnt="5">
        <dgm:presLayoutVars>
          <dgm:bulletEnabled val="1"/>
        </dgm:presLayoutVars>
      </dgm:prSet>
      <dgm:spPr/>
    </dgm:pt>
    <dgm:pt modelId="{7B085075-205D-4A31-9B87-D1F0C8DD44C7}" type="pres">
      <dgm:prSet presAssocID="{D97D5950-CABA-4C64-B775-9F9F979394AE}" presName="FiveConn_1-2" presStyleLbl="fgAccFollowNode1" presStyleIdx="0" presStyleCnt="4">
        <dgm:presLayoutVars>
          <dgm:bulletEnabled val="1"/>
        </dgm:presLayoutVars>
      </dgm:prSet>
      <dgm:spPr/>
    </dgm:pt>
    <dgm:pt modelId="{87415B9B-E5BC-4DF2-81ED-8645AE57E155}" type="pres">
      <dgm:prSet presAssocID="{D97D5950-CABA-4C64-B775-9F9F979394AE}" presName="FiveConn_2-3" presStyleLbl="fgAccFollowNode1" presStyleIdx="1" presStyleCnt="4">
        <dgm:presLayoutVars>
          <dgm:bulletEnabled val="1"/>
        </dgm:presLayoutVars>
      </dgm:prSet>
      <dgm:spPr/>
    </dgm:pt>
    <dgm:pt modelId="{005A790F-EEA7-49E6-B745-BBC89B2ED6D2}" type="pres">
      <dgm:prSet presAssocID="{D97D5950-CABA-4C64-B775-9F9F979394AE}" presName="FiveConn_3-4" presStyleLbl="fgAccFollowNode1" presStyleIdx="2" presStyleCnt="4">
        <dgm:presLayoutVars>
          <dgm:bulletEnabled val="1"/>
        </dgm:presLayoutVars>
      </dgm:prSet>
      <dgm:spPr/>
    </dgm:pt>
    <dgm:pt modelId="{2321EB3C-7FD9-41B1-B07E-1B4D14D2AC01}" type="pres">
      <dgm:prSet presAssocID="{D97D5950-CABA-4C64-B775-9F9F979394AE}" presName="FiveConn_4-5" presStyleLbl="fgAccFollowNode1" presStyleIdx="3" presStyleCnt="4">
        <dgm:presLayoutVars>
          <dgm:bulletEnabled val="1"/>
        </dgm:presLayoutVars>
      </dgm:prSet>
      <dgm:spPr/>
    </dgm:pt>
    <dgm:pt modelId="{517F4A6E-987D-422D-B43B-82E7FCBEFE99}" type="pres">
      <dgm:prSet presAssocID="{D97D5950-CABA-4C64-B775-9F9F979394AE}" presName="FiveNodes_1_text" presStyleLbl="node1" presStyleIdx="4" presStyleCnt="5">
        <dgm:presLayoutVars>
          <dgm:bulletEnabled val="1"/>
        </dgm:presLayoutVars>
      </dgm:prSet>
      <dgm:spPr/>
    </dgm:pt>
    <dgm:pt modelId="{05EAE0DA-4D90-47EA-BD64-756753B0F6AD}" type="pres">
      <dgm:prSet presAssocID="{D97D5950-CABA-4C64-B775-9F9F979394AE}" presName="FiveNodes_2_text" presStyleLbl="node1" presStyleIdx="4" presStyleCnt="5">
        <dgm:presLayoutVars>
          <dgm:bulletEnabled val="1"/>
        </dgm:presLayoutVars>
      </dgm:prSet>
      <dgm:spPr/>
    </dgm:pt>
    <dgm:pt modelId="{BC0354E6-51E1-45A8-8589-234595F04A04}" type="pres">
      <dgm:prSet presAssocID="{D97D5950-CABA-4C64-B775-9F9F979394AE}" presName="FiveNodes_3_text" presStyleLbl="node1" presStyleIdx="4" presStyleCnt="5">
        <dgm:presLayoutVars>
          <dgm:bulletEnabled val="1"/>
        </dgm:presLayoutVars>
      </dgm:prSet>
      <dgm:spPr/>
    </dgm:pt>
    <dgm:pt modelId="{0C6C17CA-001B-4A23-9B10-27B7700F0F06}" type="pres">
      <dgm:prSet presAssocID="{D97D5950-CABA-4C64-B775-9F9F979394AE}" presName="FiveNodes_4_text" presStyleLbl="node1" presStyleIdx="4" presStyleCnt="5">
        <dgm:presLayoutVars>
          <dgm:bulletEnabled val="1"/>
        </dgm:presLayoutVars>
      </dgm:prSet>
      <dgm:spPr/>
    </dgm:pt>
    <dgm:pt modelId="{50BE8BA1-C5B3-45DC-AAE5-D6625ED0066C}" type="pres">
      <dgm:prSet presAssocID="{D97D5950-CABA-4C64-B775-9F9F979394AE}" presName="FiveNodes_5_text" presStyleLbl="node1" presStyleIdx="4" presStyleCnt="5">
        <dgm:presLayoutVars>
          <dgm:bulletEnabled val="1"/>
        </dgm:presLayoutVars>
      </dgm:prSet>
      <dgm:spPr/>
    </dgm:pt>
  </dgm:ptLst>
  <dgm:cxnLst>
    <dgm:cxn modelId="{263C9E16-1D0C-4C60-A51B-15478D46C524}" type="presOf" srcId="{8542B1DA-264D-4CB5-BDAE-8F9EF21551AF}" destId="{87415B9B-E5BC-4DF2-81ED-8645AE57E155}" srcOrd="0" destOrd="0" presId="urn:microsoft.com/office/officeart/2005/8/layout/vProcess5"/>
    <dgm:cxn modelId="{80042E18-DC03-49D4-B4CD-98E55DC86835}" type="presOf" srcId="{0440CFDD-99BC-4F11-AFAA-5F8F0341695A}" destId="{CD2548AF-0ABE-4164-B097-8302C69E1DA3}" srcOrd="0" destOrd="0" presId="urn:microsoft.com/office/officeart/2005/8/layout/vProcess5"/>
    <dgm:cxn modelId="{11210A1C-4275-4144-A1F6-BA5CF925A8F1}" type="presOf" srcId="{48CD22AD-D064-45C0-A81E-5801D8CAC346}" destId="{0C6C17CA-001B-4A23-9B10-27B7700F0F06}" srcOrd="1" destOrd="0" presId="urn:microsoft.com/office/officeart/2005/8/layout/vProcess5"/>
    <dgm:cxn modelId="{00411622-24B7-4505-9F39-021BD1137AFD}" srcId="{D97D5950-CABA-4C64-B775-9F9F979394AE}" destId="{0440CFDD-99BC-4F11-AFAA-5F8F0341695A}" srcOrd="1" destOrd="0" parTransId="{6DBD1D5F-F71B-4119-AFC3-E7B7C105F7F5}" sibTransId="{8542B1DA-264D-4CB5-BDAE-8F9EF21551AF}"/>
    <dgm:cxn modelId="{F0261825-7E04-4435-8437-45A1B62063FA}" type="presOf" srcId="{48CD22AD-D064-45C0-A81E-5801D8CAC346}" destId="{FB0E822F-9F35-4B0A-9551-B3DDDA8F7EF0}" srcOrd="0" destOrd="0" presId="urn:microsoft.com/office/officeart/2005/8/layout/vProcess5"/>
    <dgm:cxn modelId="{864CC965-0A32-421F-86B8-968B4C503D92}" type="presOf" srcId="{3C60278A-DA74-4535-971F-F16DE310D727}" destId="{8E631E3E-98AB-47D0-8C43-38C08D104B51}" srcOrd="0" destOrd="0" presId="urn:microsoft.com/office/officeart/2005/8/layout/vProcess5"/>
    <dgm:cxn modelId="{43DB666B-8E47-4F42-B9C2-EA040A021922}" type="presOf" srcId="{AC2740C1-B743-4822-A6CB-EE0A0E7B0223}" destId="{2321EB3C-7FD9-41B1-B07E-1B4D14D2AC01}" srcOrd="0" destOrd="0" presId="urn:microsoft.com/office/officeart/2005/8/layout/vProcess5"/>
    <dgm:cxn modelId="{49A63D4C-CF02-4128-BE02-EF91F13FE9AA}" srcId="{D97D5950-CABA-4C64-B775-9F9F979394AE}" destId="{863A10B2-9AFC-4C0D-9AE2-C8CEE35A59C8}" srcOrd="2" destOrd="0" parTransId="{B30F7E44-AAA4-4373-991E-FF58F35BB600}" sibTransId="{06224207-B7A3-4023-BAB3-E59E1A3F55CE}"/>
    <dgm:cxn modelId="{94AC4C58-2E5D-41B7-A4D7-1FA38D12110E}" srcId="{D97D5950-CABA-4C64-B775-9F9F979394AE}" destId="{C2BABDCC-E832-4B34-A856-AA2F23F0E920}" srcOrd="4" destOrd="0" parTransId="{442C0C04-75E4-4D41-8AF7-3D5260B29BD4}" sibTransId="{D159A55D-1354-49D8-BEDE-9E6D01861D08}"/>
    <dgm:cxn modelId="{2E2CFF81-B4F4-4C3D-A6E2-EA731B085818}" srcId="{D97D5950-CABA-4C64-B775-9F9F979394AE}" destId="{48CD22AD-D064-45C0-A81E-5801D8CAC346}" srcOrd="3" destOrd="0" parTransId="{7ABBFD6A-F04C-4D7E-8723-7F8165205A79}" sibTransId="{AC2740C1-B743-4822-A6CB-EE0A0E7B0223}"/>
    <dgm:cxn modelId="{04CE488D-128D-4221-A61C-A0CACF256C21}" type="presOf" srcId="{1ECFA4C1-5A1D-41CD-A08E-FBE1132868DE}" destId="{7B085075-205D-4A31-9B87-D1F0C8DD44C7}" srcOrd="0" destOrd="0" presId="urn:microsoft.com/office/officeart/2005/8/layout/vProcess5"/>
    <dgm:cxn modelId="{D41340A6-ADF2-4480-B565-4A7658C7A1CF}" type="presOf" srcId="{863A10B2-9AFC-4C0D-9AE2-C8CEE35A59C8}" destId="{4C5D6BA4-D142-46E5-9CE6-A6EC43DF65D3}" srcOrd="0" destOrd="0" presId="urn:microsoft.com/office/officeart/2005/8/layout/vProcess5"/>
    <dgm:cxn modelId="{3F86C3A8-2375-44CF-9C5C-48829D7D78F7}" type="presOf" srcId="{C2BABDCC-E832-4B34-A856-AA2F23F0E920}" destId="{017A3993-1601-4640-A745-5A48CCD9963C}" srcOrd="0" destOrd="0" presId="urn:microsoft.com/office/officeart/2005/8/layout/vProcess5"/>
    <dgm:cxn modelId="{EDE433AB-0D69-4298-B896-13E9C416761E}" type="presOf" srcId="{C2BABDCC-E832-4B34-A856-AA2F23F0E920}" destId="{50BE8BA1-C5B3-45DC-AAE5-D6625ED0066C}" srcOrd="1" destOrd="0" presId="urn:microsoft.com/office/officeart/2005/8/layout/vProcess5"/>
    <dgm:cxn modelId="{797532AC-A549-4B1B-BDA2-CFA4D13EBCA3}" type="presOf" srcId="{863A10B2-9AFC-4C0D-9AE2-C8CEE35A59C8}" destId="{BC0354E6-51E1-45A8-8589-234595F04A04}" srcOrd="1" destOrd="0" presId="urn:microsoft.com/office/officeart/2005/8/layout/vProcess5"/>
    <dgm:cxn modelId="{407EB5B3-19B6-4F9B-BB73-A8C318EB830B}" type="presOf" srcId="{06224207-B7A3-4023-BAB3-E59E1A3F55CE}" destId="{005A790F-EEA7-49E6-B745-BBC89B2ED6D2}" srcOrd="0" destOrd="0" presId="urn:microsoft.com/office/officeart/2005/8/layout/vProcess5"/>
    <dgm:cxn modelId="{A131B4B9-D0DC-46A0-88F3-B3B6BFC12B5D}" srcId="{D97D5950-CABA-4C64-B775-9F9F979394AE}" destId="{3C60278A-DA74-4535-971F-F16DE310D727}" srcOrd="0" destOrd="0" parTransId="{D881C412-7108-4BD5-A46E-4D740BFE6A85}" sibTransId="{1ECFA4C1-5A1D-41CD-A08E-FBE1132868DE}"/>
    <dgm:cxn modelId="{4CC139BD-0CE0-4771-AA1D-13301B5FD677}" type="presOf" srcId="{0440CFDD-99BC-4F11-AFAA-5F8F0341695A}" destId="{05EAE0DA-4D90-47EA-BD64-756753B0F6AD}" srcOrd="1" destOrd="0" presId="urn:microsoft.com/office/officeart/2005/8/layout/vProcess5"/>
    <dgm:cxn modelId="{7AC83DE9-1882-4E09-BC0D-9613BBADD44A}" type="presOf" srcId="{D97D5950-CABA-4C64-B775-9F9F979394AE}" destId="{0F0B9624-8840-4825-9260-CF3523F4E5EF}" srcOrd="0" destOrd="0" presId="urn:microsoft.com/office/officeart/2005/8/layout/vProcess5"/>
    <dgm:cxn modelId="{8F4668F9-17B3-47CE-8A67-569537E62374}" type="presOf" srcId="{3C60278A-DA74-4535-971F-F16DE310D727}" destId="{517F4A6E-987D-422D-B43B-82E7FCBEFE99}" srcOrd="1" destOrd="0" presId="urn:microsoft.com/office/officeart/2005/8/layout/vProcess5"/>
    <dgm:cxn modelId="{7A0D770A-AD8B-4926-BD9A-8164D5060AE9}" type="presParOf" srcId="{0F0B9624-8840-4825-9260-CF3523F4E5EF}" destId="{24526466-39AB-43BF-81F8-4670BD185CF4}" srcOrd="0" destOrd="0" presId="urn:microsoft.com/office/officeart/2005/8/layout/vProcess5"/>
    <dgm:cxn modelId="{B16FB6DD-5E32-46B0-9E7F-4C6DEEB23303}" type="presParOf" srcId="{0F0B9624-8840-4825-9260-CF3523F4E5EF}" destId="{8E631E3E-98AB-47D0-8C43-38C08D104B51}" srcOrd="1" destOrd="0" presId="urn:microsoft.com/office/officeart/2005/8/layout/vProcess5"/>
    <dgm:cxn modelId="{F378B4D7-F063-4427-A04F-1476FF48E318}" type="presParOf" srcId="{0F0B9624-8840-4825-9260-CF3523F4E5EF}" destId="{CD2548AF-0ABE-4164-B097-8302C69E1DA3}" srcOrd="2" destOrd="0" presId="urn:microsoft.com/office/officeart/2005/8/layout/vProcess5"/>
    <dgm:cxn modelId="{BD8950BB-6CAB-43F1-8EC4-5323ADB3B0DC}" type="presParOf" srcId="{0F0B9624-8840-4825-9260-CF3523F4E5EF}" destId="{4C5D6BA4-D142-46E5-9CE6-A6EC43DF65D3}" srcOrd="3" destOrd="0" presId="urn:microsoft.com/office/officeart/2005/8/layout/vProcess5"/>
    <dgm:cxn modelId="{08A5B778-200B-46B9-B946-E1051B5E939B}" type="presParOf" srcId="{0F0B9624-8840-4825-9260-CF3523F4E5EF}" destId="{FB0E822F-9F35-4B0A-9551-B3DDDA8F7EF0}" srcOrd="4" destOrd="0" presId="urn:microsoft.com/office/officeart/2005/8/layout/vProcess5"/>
    <dgm:cxn modelId="{2FEC97E1-8CBB-4A60-8C09-B62BE9238D8C}" type="presParOf" srcId="{0F0B9624-8840-4825-9260-CF3523F4E5EF}" destId="{017A3993-1601-4640-A745-5A48CCD9963C}" srcOrd="5" destOrd="0" presId="urn:microsoft.com/office/officeart/2005/8/layout/vProcess5"/>
    <dgm:cxn modelId="{29139B4C-F00F-46AB-AF44-F69E9311E6F6}" type="presParOf" srcId="{0F0B9624-8840-4825-9260-CF3523F4E5EF}" destId="{7B085075-205D-4A31-9B87-D1F0C8DD44C7}" srcOrd="6" destOrd="0" presId="urn:microsoft.com/office/officeart/2005/8/layout/vProcess5"/>
    <dgm:cxn modelId="{612E5F75-57B0-4706-B268-9C2F8BB2F9EF}" type="presParOf" srcId="{0F0B9624-8840-4825-9260-CF3523F4E5EF}" destId="{87415B9B-E5BC-4DF2-81ED-8645AE57E155}" srcOrd="7" destOrd="0" presId="urn:microsoft.com/office/officeart/2005/8/layout/vProcess5"/>
    <dgm:cxn modelId="{02749D44-50C2-4382-99A6-99C89C090434}" type="presParOf" srcId="{0F0B9624-8840-4825-9260-CF3523F4E5EF}" destId="{005A790F-EEA7-49E6-B745-BBC89B2ED6D2}" srcOrd="8" destOrd="0" presId="urn:microsoft.com/office/officeart/2005/8/layout/vProcess5"/>
    <dgm:cxn modelId="{CD0E815A-57E4-48B6-BCB7-AC45769B3AD0}" type="presParOf" srcId="{0F0B9624-8840-4825-9260-CF3523F4E5EF}" destId="{2321EB3C-7FD9-41B1-B07E-1B4D14D2AC01}" srcOrd="9" destOrd="0" presId="urn:microsoft.com/office/officeart/2005/8/layout/vProcess5"/>
    <dgm:cxn modelId="{59DF4EA5-D065-44F1-8974-FE9365354FDD}" type="presParOf" srcId="{0F0B9624-8840-4825-9260-CF3523F4E5EF}" destId="{517F4A6E-987D-422D-B43B-82E7FCBEFE99}" srcOrd="10" destOrd="0" presId="urn:microsoft.com/office/officeart/2005/8/layout/vProcess5"/>
    <dgm:cxn modelId="{EA1AA7C6-8933-4434-AF0B-28A79A89062A}" type="presParOf" srcId="{0F0B9624-8840-4825-9260-CF3523F4E5EF}" destId="{05EAE0DA-4D90-47EA-BD64-756753B0F6AD}" srcOrd="11" destOrd="0" presId="urn:microsoft.com/office/officeart/2005/8/layout/vProcess5"/>
    <dgm:cxn modelId="{55C0A373-151C-4BA8-B18B-91C03E41F835}" type="presParOf" srcId="{0F0B9624-8840-4825-9260-CF3523F4E5EF}" destId="{BC0354E6-51E1-45A8-8589-234595F04A04}" srcOrd="12" destOrd="0" presId="urn:microsoft.com/office/officeart/2005/8/layout/vProcess5"/>
    <dgm:cxn modelId="{A1D77BAB-9110-486D-B562-06C9CE06AE7A}" type="presParOf" srcId="{0F0B9624-8840-4825-9260-CF3523F4E5EF}" destId="{0C6C17CA-001B-4A23-9B10-27B7700F0F06}" srcOrd="13" destOrd="0" presId="urn:microsoft.com/office/officeart/2005/8/layout/vProcess5"/>
    <dgm:cxn modelId="{9E589942-EA72-48D9-A945-7C44108DE680}" type="presParOf" srcId="{0F0B9624-8840-4825-9260-CF3523F4E5EF}" destId="{50BE8BA1-C5B3-45DC-AAE5-D6625ED0066C}"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31E3E-98AB-47D0-8C43-38C08D104B51}">
      <dsp:nvSpPr>
        <dsp:cNvPr id="0" name=""/>
        <dsp:cNvSpPr/>
      </dsp:nvSpPr>
      <dsp:spPr>
        <a:xfrm>
          <a:off x="0" y="0"/>
          <a:ext cx="4203614" cy="101851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latin typeface="Calibri"/>
              <a:ea typeface="+mn-ea"/>
              <a:cs typeface="+mn-cs"/>
            </a:rPr>
            <a:t>1. Third parties should complete the BAF complaint form and send it to </a:t>
          </a:r>
          <a:r>
            <a:rPr lang="en-GB" sz="900" kern="1200">
              <a:latin typeface="Calibri"/>
              <a:ea typeface="+mn-ea"/>
              <a:cs typeface="+mn-cs"/>
            </a:rPr>
            <a:t>procurement.support.centre@thameswater.co.uk with the subject line "BAF Complaint"</a:t>
          </a:r>
          <a:endParaRPr lang="en-US" sz="900" kern="1200">
            <a:latin typeface="Calibri"/>
            <a:ea typeface="+mn-ea"/>
            <a:cs typeface="+mn-cs"/>
          </a:endParaRPr>
        </a:p>
      </dsp:txBody>
      <dsp:txXfrm>
        <a:off x="29831" y="29831"/>
        <a:ext cx="2985392" cy="958852"/>
      </dsp:txXfrm>
    </dsp:sp>
    <dsp:sp modelId="{CD2548AF-0ABE-4164-B097-8302C69E1DA3}">
      <dsp:nvSpPr>
        <dsp:cNvPr id="0" name=""/>
        <dsp:cNvSpPr/>
      </dsp:nvSpPr>
      <dsp:spPr>
        <a:xfrm>
          <a:off x="313906" y="1159975"/>
          <a:ext cx="4203614" cy="101851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latin typeface="Calibri"/>
              <a:ea typeface="+mn-ea"/>
              <a:cs typeface="+mn-cs"/>
            </a:rPr>
            <a:t>2. Within 5 working days, the complaint form will be logged and an acknowledgment sent to the third party.</a:t>
          </a:r>
        </a:p>
      </dsp:txBody>
      <dsp:txXfrm>
        <a:off x="343737" y="1189806"/>
        <a:ext cx="3168011" cy="958852"/>
      </dsp:txXfrm>
    </dsp:sp>
    <dsp:sp modelId="{4C5D6BA4-D142-46E5-9CE6-A6EC43DF65D3}">
      <dsp:nvSpPr>
        <dsp:cNvPr id="0" name=""/>
        <dsp:cNvSpPr/>
      </dsp:nvSpPr>
      <dsp:spPr>
        <a:xfrm>
          <a:off x="627812" y="2319950"/>
          <a:ext cx="4203614" cy="101851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latin typeface="Calibri"/>
              <a:ea typeface="+mn-ea"/>
              <a:cs typeface="+mn-cs"/>
            </a:rPr>
            <a:t>3. Thames Water will review and respond to all complaints within 10 working days of receiving all information necessary to review the complaint. This will set out the outcome of their review of their complaint, including an action to resolve (if warranted) and timescales for this. </a:t>
          </a:r>
        </a:p>
      </dsp:txBody>
      <dsp:txXfrm>
        <a:off x="657643" y="2349781"/>
        <a:ext cx="3168011" cy="958852"/>
      </dsp:txXfrm>
    </dsp:sp>
    <dsp:sp modelId="{FB0E822F-9F35-4B0A-9551-B3DDDA8F7EF0}">
      <dsp:nvSpPr>
        <dsp:cNvPr id="0" name=""/>
        <dsp:cNvSpPr/>
      </dsp:nvSpPr>
      <dsp:spPr>
        <a:xfrm>
          <a:off x="941718" y="3479925"/>
          <a:ext cx="4203614" cy="101851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latin typeface="Calibri"/>
              <a:ea typeface="+mn-ea"/>
              <a:cs typeface="+mn-cs"/>
            </a:rPr>
            <a:t>4. If the response received is not deemed satisfactory by the complainant then they must respond confirming this within 5 working days of receipt of the response. The complaint will then be escalated to the Project Board with a response provided to the complainant within 15 working days of the complaint being escalated. </a:t>
          </a:r>
        </a:p>
      </dsp:txBody>
      <dsp:txXfrm>
        <a:off x="971549" y="3509756"/>
        <a:ext cx="3168011" cy="958852"/>
      </dsp:txXfrm>
    </dsp:sp>
    <dsp:sp modelId="{017A3993-1601-4640-A745-5A48CCD9963C}">
      <dsp:nvSpPr>
        <dsp:cNvPr id="0" name=""/>
        <dsp:cNvSpPr/>
      </dsp:nvSpPr>
      <dsp:spPr>
        <a:xfrm>
          <a:off x="1255625" y="4639900"/>
          <a:ext cx="4203614" cy="101851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latin typeface="Calibri"/>
              <a:ea typeface="+mn-ea"/>
              <a:cs typeface="+mn-cs"/>
            </a:rPr>
            <a:t>5. If the complainant considers the response received from the Project Board to not be satisfactory, the complainant must respond confirming this within 5 working days of receipt of the response. The complaint will then be escalated to the Thames Water Executive Board for a decision. This decision will need to be made and communicated to the complainant within 30 working days, and the decision will be final.</a:t>
          </a:r>
        </a:p>
      </dsp:txBody>
      <dsp:txXfrm>
        <a:off x="1285456" y="4669731"/>
        <a:ext cx="3168011" cy="958852"/>
      </dsp:txXfrm>
    </dsp:sp>
    <dsp:sp modelId="{7B085075-205D-4A31-9B87-D1F0C8DD44C7}">
      <dsp:nvSpPr>
        <dsp:cNvPr id="0" name=""/>
        <dsp:cNvSpPr/>
      </dsp:nvSpPr>
      <dsp:spPr>
        <a:xfrm>
          <a:off x="3541580" y="744081"/>
          <a:ext cx="662034" cy="66203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solidFill>
              <a:sysClr val="windowText" lastClr="000000">
                <a:hueOff val="0"/>
                <a:satOff val="0"/>
                <a:lumOff val="0"/>
                <a:alphaOff val="0"/>
              </a:sysClr>
            </a:solidFill>
            <a:latin typeface="Calibri"/>
            <a:ea typeface="+mn-ea"/>
            <a:cs typeface="+mn-cs"/>
          </a:endParaRPr>
        </a:p>
      </dsp:txBody>
      <dsp:txXfrm>
        <a:off x="3690538" y="744081"/>
        <a:ext cx="364118" cy="498181"/>
      </dsp:txXfrm>
    </dsp:sp>
    <dsp:sp modelId="{87415B9B-E5BC-4DF2-81ED-8645AE57E155}">
      <dsp:nvSpPr>
        <dsp:cNvPr id="0" name=""/>
        <dsp:cNvSpPr/>
      </dsp:nvSpPr>
      <dsp:spPr>
        <a:xfrm>
          <a:off x="3855486" y="1904056"/>
          <a:ext cx="662034" cy="66203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solidFill>
              <a:sysClr val="windowText" lastClr="000000">
                <a:hueOff val="0"/>
                <a:satOff val="0"/>
                <a:lumOff val="0"/>
                <a:alphaOff val="0"/>
              </a:sysClr>
            </a:solidFill>
            <a:latin typeface="Calibri"/>
            <a:ea typeface="+mn-ea"/>
            <a:cs typeface="+mn-cs"/>
          </a:endParaRPr>
        </a:p>
      </dsp:txBody>
      <dsp:txXfrm>
        <a:off x="4004444" y="1904056"/>
        <a:ext cx="364118" cy="498181"/>
      </dsp:txXfrm>
    </dsp:sp>
    <dsp:sp modelId="{005A790F-EEA7-49E6-B745-BBC89B2ED6D2}">
      <dsp:nvSpPr>
        <dsp:cNvPr id="0" name=""/>
        <dsp:cNvSpPr/>
      </dsp:nvSpPr>
      <dsp:spPr>
        <a:xfrm>
          <a:off x="4169392" y="3047056"/>
          <a:ext cx="662034" cy="66203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solidFill>
              <a:sysClr val="windowText" lastClr="000000">
                <a:hueOff val="0"/>
                <a:satOff val="0"/>
                <a:lumOff val="0"/>
                <a:alphaOff val="0"/>
              </a:sysClr>
            </a:solidFill>
            <a:latin typeface="Calibri"/>
            <a:ea typeface="+mn-ea"/>
            <a:cs typeface="+mn-cs"/>
          </a:endParaRPr>
        </a:p>
      </dsp:txBody>
      <dsp:txXfrm>
        <a:off x="4318350" y="3047056"/>
        <a:ext cx="364118" cy="498181"/>
      </dsp:txXfrm>
    </dsp:sp>
    <dsp:sp modelId="{2321EB3C-7FD9-41B1-B07E-1B4D14D2AC01}">
      <dsp:nvSpPr>
        <dsp:cNvPr id="0" name=""/>
        <dsp:cNvSpPr/>
      </dsp:nvSpPr>
      <dsp:spPr>
        <a:xfrm>
          <a:off x="4483299" y="4218348"/>
          <a:ext cx="662034" cy="66203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solidFill>
              <a:sysClr val="windowText" lastClr="000000">
                <a:hueOff val="0"/>
                <a:satOff val="0"/>
                <a:lumOff val="0"/>
                <a:alphaOff val="0"/>
              </a:sysClr>
            </a:solidFill>
            <a:latin typeface="Calibri"/>
            <a:ea typeface="+mn-ea"/>
            <a:cs typeface="+mn-cs"/>
          </a:endParaRPr>
        </a:p>
      </dsp:txBody>
      <dsp:txXfrm>
        <a:off x="4632257" y="4218348"/>
        <a:ext cx="364118" cy="49818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32D153FC8BFB438D82363EA992B2B9" ma:contentTypeVersion="13" ma:contentTypeDescription="Create a new document." ma:contentTypeScope="" ma:versionID="d68b78849d076001dbf306f9ab04e2cf">
  <xsd:schema xmlns:xsd="http://www.w3.org/2001/XMLSchema" xmlns:xs="http://www.w3.org/2001/XMLSchema" xmlns:p="http://schemas.microsoft.com/office/2006/metadata/properties" xmlns:ns3="81a5ad8a-d5fb-4012-8ca9-15e7cc009343" xmlns:ns4="9d9babbb-9d2f-4374-acef-4e32190ceeca" targetNamespace="http://schemas.microsoft.com/office/2006/metadata/properties" ma:root="true" ma:fieldsID="704af379f0ccd9877bac65a0a4ae46ac" ns3:_="" ns4:_="">
    <xsd:import namespace="81a5ad8a-d5fb-4012-8ca9-15e7cc009343"/>
    <xsd:import namespace="9d9babbb-9d2f-4374-acef-4e32190cee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ad8a-d5fb-4012-8ca9-15e7cc009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babbb-9d2f-4374-acef-4e32190cee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6CC90-3877-4FB8-9965-FA8678EE4551}">
  <ds:schemaRefs>
    <ds:schemaRef ds:uri="http://schemas.microsoft.com/sharepoint/v3/contenttype/forms"/>
  </ds:schemaRefs>
</ds:datastoreItem>
</file>

<file path=customXml/itemProps2.xml><?xml version="1.0" encoding="utf-8"?>
<ds:datastoreItem xmlns:ds="http://schemas.openxmlformats.org/officeDocument/2006/customXml" ds:itemID="{038062E7-4013-460C-83C2-BF574AB2E6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9babbb-9d2f-4374-acef-4e32190ceeca"/>
    <ds:schemaRef ds:uri="81a5ad8a-d5fb-4012-8ca9-15e7cc009343"/>
    <ds:schemaRef ds:uri="http://www.w3.org/XML/1998/namespace"/>
    <ds:schemaRef ds:uri="http://purl.org/dc/dcmitype/"/>
  </ds:schemaRefs>
</ds:datastoreItem>
</file>

<file path=customXml/itemProps3.xml><?xml version="1.0" encoding="utf-8"?>
<ds:datastoreItem xmlns:ds="http://schemas.openxmlformats.org/officeDocument/2006/customXml" ds:itemID="{7A645A91-C1CB-406D-8A19-56C0E81A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ad8a-d5fb-4012-8ca9-15e7cc009343"/>
    <ds:schemaRef ds:uri="9d9babbb-9d2f-4374-acef-4e32190c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Links>
    <vt:vector size="6" baseType="variant">
      <vt:variant>
        <vt:i4>1900645</vt:i4>
      </vt:variant>
      <vt:variant>
        <vt:i4>0</vt:i4>
      </vt:variant>
      <vt:variant>
        <vt:i4>0</vt:i4>
      </vt:variant>
      <vt:variant>
        <vt:i4>5</vt:i4>
      </vt:variant>
      <vt:variant>
        <vt:lpwstr>mailto:procurement.support.centre@thameswater.co.uk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WaughBacchus</dc:creator>
  <cp:keywords/>
  <dc:description/>
  <cp:lastModifiedBy>Laura Dewey</cp:lastModifiedBy>
  <cp:revision>2</cp:revision>
  <dcterms:created xsi:type="dcterms:W3CDTF">2020-06-16T13:44:00Z</dcterms:created>
  <dcterms:modified xsi:type="dcterms:W3CDTF">2020-06-16T13:44:00Z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0x010100C032D153FC8BFB438D82363EA992B2B9</vt:lpwstr>
  </property>
</Properties>
</file>